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824" w:rsidRDefault="00830824" w:rsidP="00E42B6E">
      <w:pPr>
        <w:snapToGrid w:val="0"/>
        <w:contextualSpacing/>
        <w:rPr>
          <w:sz w:val="24"/>
          <w:szCs w:val="24"/>
        </w:rPr>
      </w:pPr>
      <w:bookmarkStart w:id="0" w:name="_GoBack"/>
      <w:bookmarkEnd w:id="0"/>
      <w:r>
        <w:rPr>
          <w:rFonts w:hint="eastAsia"/>
          <w:sz w:val="24"/>
          <w:szCs w:val="24"/>
        </w:rPr>
        <w:t xml:space="preserve">　（奈良セントラル病院）</w:t>
      </w:r>
    </w:p>
    <w:p w:rsidR="00830824" w:rsidRDefault="00830824" w:rsidP="00E42B6E">
      <w:pPr>
        <w:snapToGrid w:val="0"/>
        <w:contextualSpacing/>
        <w:rPr>
          <w:sz w:val="24"/>
          <w:szCs w:val="24"/>
        </w:rPr>
      </w:pPr>
    </w:p>
    <w:p w:rsidR="00CF114A" w:rsidRPr="00BB4DAE" w:rsidRDefault="00F020E4" w:rsidP="00E42B6E">
      <w:pPr>
        <w:snapToGrid w:val="0"/>
        <w:contextualSpacing/>
        <w:rPr>
          <w:sz w:val="24"/>
          <w:szCs w:val="24"/>
        </w:rPr>
      </w:pPr>
      <w:r w:rsidRPr="00BB4DAE">
        <w:rPr>
          <w:rFonts w:hint="eastAsia"/>
          <w:sz w:val="24"/>
          <w:szCs w:val="24"/>
        </w:rPr>
        <w:t>後発医薬品採用基準</w:t>
      </w:r>
    </w:p>
    <w:p w:rsidR="00F020E4" w:rsidRDefault="00F020E4" w:rsidP="00E42B6E">
      <w:pPr>
        <w:snapToGrid w:val="0"/>
        <w:contextualSpacing/>
        <w:rPr>
          <w:szCs w:val="21"/>
        </w:rPr>
      </w:pPr>
    </w:p>
    <w:p w:rsidR="004A2035" w:rsidRPr="004A2035" w:rsidRDefault="004A2035" w:rsidP="00E42B6E">
      <w:pPr>
        <w:snapToGrid w:val="0"/>
        <w:contextualSpacing/>
        <w:rPr>
          <w:szCs w:val="21"/>
        </w:rPr>
      </w:pPr>
      <w:r w:rsidRPr="004A2035">
        <w:rPr>
          <w:rFonts w:hint="eastAsia"/>
          <w:szCs w:val="21"/>
        </w:rPr>
        <w:t>基本条件</w:t>
      </w:r>
    </w:p>
    <w:p w:rsidR="004A2035" w:rsidRPr="004A2035" w:rsidRDefault="004A2035" w:rsidP="00E42B6E">
      <w:pPr>
        <w:widowControl/>
        <w:numPr>
          <w:ilvl w:val="0"/>
          <w:numId w:val="1"/>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有効性、安全性が担保され、経済効果が期待できる医薬品であること。</w:t>
      </w:r>
    </w:p>
    <w:p w:rsidR="004A2035" w:rsidRPr="004A2035" w:rsidRDefault="004A2035" w:rsidP="00E42B6E">
      <w:pPr>
        <w:widowControl/>
        <w:numPr>
          <w:ilvl w:val="0"/>
          <w:numId w:val="1"/>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原則として採用される後発医薬品は先発医薬品と同等以上の保険適応を有すること。</w:t>
      </w:r>
    </w:p>
    <w:p w:rsidR="004A2035" w:rsidRPr="004A2035" w:rsidRDefault="004A2035" w:rsidP="00E42B6E">
      <w:pPr>
        <w:widowControl/>
        <w:numPr>
          <w:ilvl w:val="0"/>
          <w:numId w:val="1"/>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発売後一定期間を経過し、効果・副作用発現頻度等において先発医薬品と同等以上の評価が得られていること。</w:t>
      </w:r>
    </w:p>
    <w:p w:rsidR="004A2035" w:rsidRDefault="004A2035" w:rsidP="00E42B6E">
      <w:pPr>
        <w:widowControl/>
        <w:numPr>
          <w:ilvl w:val="0"/>
          <w:numId w:val="1"/>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該当医薬品に関し適正な情報提供が行われるメーカーの製品であること。</w:t>
      </w:r>
    </w:p>
    <w:p w:rsidR="00BB4DAE" w:rsidRPr="004A2035" w:rsidRDefault="00BB4DAE" w:rsidP="00BB4DAE">
      <w:pPr>
        <w:widowControl/>
        <w:snapToGrid w:val="0"/>
        <w:spacing w:before="100" w:beforeAutospacing="1" w:after="100" w:afterAutospacing="1"/>
        <w:ind w:left="644"/>
        <w:contextualSpacing/>
        <w:jc w:val="left"/>
        <w:rPr>
          <w:rFonts w:asciiTheme="minorEastAsia" w:hAnsiTheme="minorEastAsia" w:cs="メイリオ"/>
          <w:color w:val="000000"/>
          <w:kern w:val="0"/>
          <w:szCs w:val="21"/>
        </w:rPr>
      </w:pPr>
    </w:p>
    <w:p w:rsidR="004A2035" w:rsidRDefault="004A2035" w:rsidP="00E42B6E">
      <w:pPr>
        <w:snapToGrid w:val="0"/>
        <w:contextualSpacing/>
      </w:pPr>
      <w:r>
        <w:rPr>
          <w:rFonts w:hint="eastAsia"/>
        </w:rPr>
        <w:t>採用対象医薬品の規格及び品質</w:t>
      </w:r>
    </w:p>
    <w:p w:rsidR="004A2035" w:rsidRDefault="004A2035" w:rsidP="00E42B6E">
      <w:pPr>
        <w:widowControl/>
        <w:numPr>
          <w:ilvl w:val="0"/>
          <w:numId w:val="2"/>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製剤特性において先発医薬品との同等性が保証されており、添加剤および試験データが公表されていること。</w:t>
      </w:r>
    </w:p>
    <w:p w:rsidR="00BB4DAE" w:rsidRDefault="00BB4DAE" w:rsidP="00BB4DAE">
      <w:pPr>
        <w:widowControl/>
        <w:snapToGrid w:val="0"/>
        <w:spacing w:before="100" w:beforeAutospacing="1" w:after="100" w:afterAutospacing="1"/>
        <w:ind w:left="720"/>
        <w:contextualSpacing/>
        <w:jc w:val="left"/>
        <w:rPr>
          <w:rFonts w:asciiTheme="minorEastAsia" w:hAnsiTheme="minorEastAsia" w:cs="メイリオ"/>
          <w:color w:val="000000"/>
          <w:kern w:val="0"/>
          <w:szCs w:val="21"/>
        </w:rPr>
      </w:pPr>
    </w:p>
    <w:p w:rsidR="004A2035" w:rsidRDefault="004A2035" w:rsidP="00E42B6E">
      <w:pPr>
        <w:snapToGrid w:val="0"/>
        <w:contextualSpacing/>
      </w:pPr>
      <w:r>
        <w:rPr>
          <w:rFonts w:hint="eastAsia"/>
        </w:rPr>
        <w:t>供給</w:t>
      </w:r>
    </w:p>
    <w:p w:rsidR="004A2035" w:rsidRPr="004A2035" w:rsidRDefault="004A2035" w:rsidP="00E42B6E">
      <w:pPr>
        <w:widowControl/>
        <w:numPr>
          <w:ilvl w:val="0"/>
          <w:numId w:val="3"/>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県内の指定納入業者からの入手が可能であること。</w:t>
      </w:r>
    </w:p>
    <w:p w:rsidR="004A2035" w:rsidRPr="004A2035" w:rsidRDefault="004A2035" w:rsidP="00E42B6E">
      <w:pPr>
        <w:widowControl/>
        <w:numPr>
          <w:ilvl w:val="0"/>
          <w:numId w:val="3"/>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安定供給が保証されているもの。</w:t>
      </w:r>
    </w:p>
    <w:p w:rsidR="004A2035" w:rsidRPr="004A2035" w:rsidRDefault="004A2035" w:rsidP="00E42B6E">
      <w:pPr>
        <w:widowControl/>
        <w:numPr>
          <w:ilvl w:val="0"/>
          <w:numId w:val="3"/>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流通段階において適正に保管管理され、納入時には適正ロットの納品が可能であること。</w:t>
      </w:r>
    </w:p>
    <w:p w:rsidR="004A2035" w:rsidRDefault="004A2035" w:rsidP="00E42B6E">
      <w:pPr>
        <w:widowControl/>
        <w:numPr>
          <w:ilvl w:val="0"/>
          <w:numId w:val="3"/>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納入時の残存使用期間が制限内の3 分の2以上であること。</w:t>
      </w:r>
    </w:p>
    <w:p w:rsidR="00BB4DAE" w:rsidRPr="004A2035" w:rsidRDefault="00BB4DAE" w:rsidP="00BB4DAE">
      <w:pPr>
        <w:widowControl/>
        <w:snapToGrid w:val="0"/>
        <w:spacing w:before="100" w:beforeAutospacing="1" w:after="100" w:afterAutospacing="1"/>
        <w:ind w:left="720"/>
        <w:contextualSpacing/>
        <w:jc w:val="left"/>
        <w:rPr>
          <w:rFonts w:asciiTheme="minorEastAsia" w:hAnsiTheme="minorEastAsia" w:cs="メイリオ"/>
          <w:color w:val="000000"/>
          <w:kern w:val="0"/>
          <w:szCs w:val="21"/>
        </w:rPr>
      </w:pPr>
    </w:p>
    <w:p w:rsidR="004A2035" w:rsidRDefault="004A2035" w:rsidP="00E42B6E">
      <w:pPr>
        <w:snapToGrid w:val="0"/>
        <w:contextualSpacing/>
      </w:pPr>
      <w:r>
        <w:rPr>
          <w:rFonts w:hint="eastAsia"/>
        </w:rPr>
        <w:t>事故防止対策</w:t>
      </w:r>
    </w:p>
    <w:p w:rsidR="004A2035" w:rsidRPr="004A2035" w:rsidRDefault="004A2035" w:rsidP="00E42B6E">
      <w:pPr>
        <w:widowControl/>
        <w:numPr>
          <w:ilvl w:val="0"/>
          <w:numId w:val="4"/>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医療事故防止に配慮された外観、名称、取り扱い性能を有すること。</w:t>
      </w:r>
    </w:p>
    <w:p w:rsidR="004A2035" w:rsidRDefault="004A2035" w:rsidP="00E42B6E">
      <w:pPr>
        <w:widowControl/>
        <w:numPr>
          <w:ilvl w:val="0"/>
          <w:numId w:val="4"/>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不良品などのトラブル発生時には情報提供のみならず迅速な回収など適切な措置を講じる事ができる責任体制を有する医薬品メーカーであること。</w:t>
      </w:r>
    </w:p>
    <w:p w:rsidR="00BB4DAE" w:rsidRPr="004A2035" w:rsidRDefault="00BB4DAE" w:rsidP="00BB4DAE">
      <w:pPr>
        <w:widowControl/>
        <w:snapToGrid w:val="0"/>
        <w:spacing w:before="100" w:beforeAutospacing="1" w:after="100" w:afterAutospacing="1"/>
        <w:ind w:left="720"/>
        <w:contextualSpacing/>
        <w:jc w:val="left"/>
        <w:rPr>
          <w:rFonts w:asciiTheme="minorEastAsia" w:hAnsiTheme="minorEastAsia" w:cs="メイリオ"/>
          <w:color w:val="000000"/>
          <w:kern w:val="0"/>
          <w:szCs w:val="21"/>
        </w:rPr>
      </w:pPr>
    </w:p>
    <w:p w:rsidR="004A2035" w:rsidRDefault="004A2035" w:rsidP="00E42B6E">
      <w:pPr>
        <w:snapToGrid w:val="0"/>
        <w:contextualSpacing/>
      </w:pPr>
      <w:r>
        <w:rPr>
          <w:rFonts w:hint="eastAsia"/>
        </w:rPr>
        <w:t>その他</w:t>
      </w:r>
    </w:p>
    <w:p w:rsidR="004A2035" w:rsidRPr="004A2035" w:rsidRDefault="004A2035" w:rsidP="00E42B6E">
      <w:pPr>
        <w:widowControl/>
        <w:numPr>
          <w:ilvl w:val="0"/>
          <w:numId w:val="5"/>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複数の規格がある場合には原則として全ての規格を同一のブランドに統一して採用する。</w:t>
      </w:r>
    </w:p>
    <w:p w:rsidR="004A2035" w:rsidRPr="004A2035" w:rsidRDefault="004A2035" w:rsidP="00E42B6E">
      <w:pPr>
        <w:widowControl/>
        <w:numPr>
          <w:ilvl w:val="0"/>
          <w:numId w:val="5"/>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後発医薬品の採用可否に関しては当院薬事委員会にて審議する。</w:t>
      </w:r>
    </w:p>
    <w:p w:rsidR="004A2035" w:rsidRPr="004A2035" w:rsidRDefault="004A2035" w:rsidP="00E42B6E">
      <w:pPr>
        <w:widowControl/>
        <w:numPr>
          <w:ilvl w:val="0"/>
          <w:numId w:val="5"/>
        </w:numPr>
        <w:snapToGrid w:val="0"/>
        <w:spacing w:before="100" w:beforeAutospacing="1" w:after="100" w:afterAutospacing="1"/>
        <w:contextualSpacing/>
        <w:jc w:val="left"/>
        <w:rPr>
          <w:rFonts w:asciiTheme="minorEastAsia" w:hAnsiTheme="minorEastAsia" w:cs="メイリオ"/>
          <w:color w:val="000000"/>
          <w:kern w:val="0"/>
          <w:szCs w:val="21"/>
        </w:rPr>
      </w:pPr>
      <w:r w:rsidRPr="004A2035">
        <w:rPr>
          <w:rFonts w:asciiTheme="minorEastAsia" w:hAnsiTheme="minorEastAsia" w:cs="メイリオ" w:hint="eastAsia"/>
          <w:color w:val="000000"/>
          <w:kern w:val="0"/>
          <w:szCs w:val="21"/>
        </w:rPr>
        <w:t>院外処方用として登録する際には規定に従った手続きを経る。</w:t>
      </w:r>
    </w:p>
    <w:p w:rsidR="004A2035" w:rsidRPr="004A2035" w:rsidRDefault="004A2035"/>
    <w:sectPr w:rsidR="004A2035" w:rsidRPr="004A2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EC" w:rsidRDefault="00E629EC" w:rsidP="00BB4DAE">
      <w:r>
        <w:separator/>
      </w:r>
    </w:p>
  </w:endnote>
  <w:endnote w:type="continuationSeparator" w:id="0">
    <w:p w:rsidR="00E629EC" w:rsidRDefault="00E629EC" w:rsidP="00BB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EC" w:rsidRDefault="00E629EC" w:rsidP="00BB4DAE">
      <w:r>
        <w:separator/>
      </w:r>
    </w:p>
  </w:footnote>
  <w:footnote w:type="continuationSeparator" w:id="0">
    <w:p w:rsidR="00E629EC" w:rsidRDefault="00E629EC" w:rsidP="00BB4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19E6"/>
    <w:multiLevelType w:val="multilevel"/>
    <w:tmpl w:val="A7A0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C70B0"/>
    <w:multiLevelType w:val="multilevel"/>
    <w:tmpl w:val="A8E8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44309"/>
    <w:multiLevelType w:val="multilevel"/>
    <w:tmpl w:val="D024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DC5E3F"/>
    <w:multiLevelType w:val="multilevel"/>
    <w:tmpl w:val="E8F216B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66FB7CA3"/>
    <w:multiLevelType w:val="multilevel"/>
    <w:tmpl w:val="AE62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E4"/>
    <w:rsid w:val="002F4658"/>
    <w:rsid w:val="004A2035"/>
    <w:rsid w:val="007C0CCB"/>
    <w:rsid w:val="00830824"/>
    <w:rsid w:val="00BB4DAE"/>
    <w:rsid w:val="00CF114A"/>
    <w:rsid w:val="00E42B6E"/>
    <w:rsid w:val="00E629EC"/>
    <w:rsid w:val="00F020E4"/>
    <w:rsid w:val="00F81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026538F-022F-42BE-BCB8-450E50AF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2035"/>
    <w:rPr>
      <w:rFonts w:asciiTheme="majorHAnsi" w:eastAsiaTheme="majorEastAsia" w:hAnsiTheme="majorHAnsi" w:cstheme="majorBidi"/>
      <w:sz w:val="18"/>
      <w:szCs w:val="18"/>
    </w:rPr>
  </w:style>
  <w:style w:type="paragraph" w:styleId="a5">
    <w:name w:val="header"/>
    <w:basedOn w:val="a"/>
    <w:link w:val="a6"/>
    <w:uiPriority w:val="99"/>
    <w:unhideWhenUsed/>
    <w:rsid w:val="00BB4DAE"/>
    <w:pPr>
      <w:tabs>
        <w:tab w:val="center" w:pos="4252"/>
        <w:tab w:val="right" w:pos="8504"/>
      </w:tabs>
      <w:snapToGrid w:val="0"/>
    </w:pPr>
  </w:style>
  <w:style w:type="character" w:customStyle="1" w:styleId="a6">
    <w:name w:val="ヘッダー (文字)"/>
    <w:basedOn w:val="a0"/>
    <w:link w:val="a5"/>
    <w:uiPriority w:val="99"/>
    <w:rsid w:val="00BB4DAE"/>
  </w:style>
  <w:style w:type="paragraph" w:styleId="a7">
    <w:name w:val="footer"/>
    <w:basedOn w:val="a"/>
    <w:link w:val="a8"/>
    <w:uiPriority w:val="99"/>
    <w:unhideWhenUsed/>
    <w:rsid w:val="00BB4DAE"/>
    <w:pPr>
      <w:tabs>
        <w:tab w:val="center" w:pos="4252"/>
        <w:tab w:val="right" w:pos="8504"/>
      </w:tabs>
      <w:snapToGrid w:val="0"/>
    </w:pPr>
  </w:style>
  <w:style w:type="character" w:customStyle="1" w:styleId="a8">
    <w:name w:val="フッター (文字)"/>
    <w:basedOn w:val="a0"/>
    <w:link w:val="a7"/>
    <w:uiPriority w:val="99"/>
    <w:rsid w:val="00BB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elytos017</dc:creator>
  <cp:keywords/>
  <dc:description/>
  <cp:lastModifiedBy>奈良県</cp:lastModifiedBy>
  <cp:revision>2</cp:revision>
  <cp:lastPrinted>2018-02-19T00:19:00Z</cp:lastPrinted>
  <dcterms:created xsi:type="dcterms:W3CDTF">2019-10-17T09:22:00Z</dcterms:created>
  <dcterms:modified xsi:type="dcterms:W3CDTF">2019-10-17T09:22:00Z</dcterms:modified>
</cp:coreProperties>
</file>